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195972">
        <w:rPr>
          <w:rFonts w:ascii="Times New Roman" w:hAnsi="Times New Roman"/>
          <w:b/>
          <w:sz w:val="28"/>
          <w:lang w:val="ru-RU"/>
        </w:rPr>
        <w:t>Левомицетин</w:t>
      </w:r>
      <w:r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Pr="00116B83">
        <w:rPr>
          <w:rFonts w:ascii="Times New Roman" w:hAnsi="Times New Roman"/>
          <w:sz w:val="28"/>
          <w:lang w:val="ru-RU"/>
        </w:rPr>
        <w:cr/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195972">
        <w:rPr>
          <w:rFonts w:ascii="Times New Roman" w:hAnsi="Times New Roman"/>
          <w:szCs w:val="24"/>
          <w:lang w:val="ru-RU"/>
        </w:rPr>
        <w:t>Левомицетин</w:t>
      </w:r>
    </w:p>
    <w:p w:rsidR="006D2A97" w:rsidRPr="008C1E49" w:rsidRDefault="0007290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195972">
        <w:rPr>
          <w:rFonts w:ascii="Times New Roman" w:hAnsi="Times New Roman"/>
          <w:szCs w:val="24"/>
          <w:lang w:val="ru-RU"/>
        </w:rPr>
        <w:t>Хлорамфеникол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Т</w:t>
      </w:r>
      <w:r w:rsidR="00A87C4E">
        <w:rPr>
          <w:rFonts w:ascii="Times New Roman" w:hAnsi="Times New Roman"/>
          <w:szCs w:val="24"/>
          <w:lang w:val="ru-RU"/>
        </w:rPr>
        <w:t>аблетки</w:t>
      </w:r>
    </w:p>
    <w:p w:rsidR="009503CC" w:rsidRDefault="007D7F48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87C4E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>
        <w:rPr>
          <w:rFonts w:ascii="Times New Roman" w:hAnsi="Times New Roman"/>
          <w:b/>
          <w:szCs w:val="24"/>
          <w:lang w:val="ru-RU"/>
        </w:rPr>
        <w:t>ку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235E2">
        <w:rPr>
          <w:rFonts w:ascii="Times New Roman" w:hAnsi="Times New Roman"/>
          <w:i/>
          <w:szCs w:val="24"/>
          <w:lang w:val="ru-RU"/>
        </w:rPr>
        <w:t xml:space="preserve">Действующее вещество: 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235E2">
        <w:rPr>
          <w:rFonts w:ascii="Times New Roman" w:hAnsi="Times New Roman"/>
          <w:szCs w:val="24"/>
          <w:lang w:val="ru-RU"/>
        </w:rPr>
        <w:t xml:space="preserve">Левомицетин (Хлорамфеникол) – </w:t>
      </w:r>
      <w:r w:rsidR="00754639">
        <w:rPr>
          <w:rFonts w:ascii="Times New Roman" w:hAnsi="Times New Roman"/>
          <w:szCs w:val="24"/>
          <w:lang w:val="ru-RU"/>
        </w:rPr>
        <w:t>500</w:t>
      </w:r>
      <w:r w:rsidRPr="009235E2">
        <w:rPr>
          <w:rFonts w:ascii="Times New Roman" w:hAnsi="Times New Roman"/>
          <w:szCs w:val="24"/>
          <w:lang w:val="ru-RU"/>
        </w:rPr>
        <w:t xml:space="preserve"> мг или </w:t>
      </w:r>
      <w:r w:rsidR="00754639">
        <w:rPr>
          <w:rFonts w:ascii="Times New Roman" w:hAnsi="Times New Roman"/>
          <w:szCs w:val="24"/>
          <w:lang w:val="ru-RU"/>
        </w:rPr>
        <w:t>250</w:t>
      </w:r>
      <w:r w:rsidRPr="009235E2">
        <w:rPr>
          <w:rFonts w:ascii="Times New Roman" w:hAnsi="Times New Roman"/>
          <w:szCs w:val="24"/>
          <w:lang w:val="ru-RU"/>
        </w:rPr>
        <w:t xml:space="preserve"> мг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235E2">
        <w:rPr>
          <w:rFonts w:ascii="Times New Roman" w:hAnsi="Times New Roman"/>
          <w:i/>
          <w:szCs w:val="24"/>
          <w:lang w:val="ru-RU"/>
        </w:rPr>
        <w:t>Вспомогательные вещества: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235E2">
        <w:rPr>
          <w:rFonts w:ascii="Times New Roman" w:hAnsi="Times New Roman"/>
          <w:szCs w:val="24"/>
          <w:lang w:val="ru-RU"/>
        </w:rPr>
        <w:t>Крахмал картофельный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235E2">
        <w:rPr>
          <w:rFonts w:ascii="Times New Roman" w:hAnsi="Times New Roman"/>
          <w:szCs w:val="24"/>
          <w:lang w:val="ru-RU"/>
        </w:rPr>
        <w:t>– 40,0 мг или 20,0 мг;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235E2">
        <w:rPr>
          <w:rFonts w:ascii="Times New Roman" w:hAnsi="Times New Roman"/>
          <w:szCs w:val="24"/>
          <w:lang w:val="ru-RU"/>
        </w:rPr>
        <w:t>Повидон – К-17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235E2">
        <w:rPr>
          <w:rFonts w:ascii="Times New Roman" w:hAnsi="Times New Roman"/>
          <w:szCs w:val="24"/>
          <w:lang w:val="ru-RU"/>
        </w:rPr>
        <w:t>– 5,0 мг или 2,5 мг;</w:t>
      </w:r>
    </w:p>
    <w:p w:rsidR="009235E2" w:rsidRPr="009235E2" w:rsidRDefault="009235E2" w:rsidP="009235E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235E2">
        <w:rPr>
          <w:rFonts w:ascii="Times New Roman" w:hAnsi="Times New Roman"/>
          <w:szCs w:val="24"/>
          <w:lang w:val="ru-RU"/>
        </w:rPr>
        <w:t>Стеариновая кислота – 5,0 мг или 2,5 мг.</w:t>
      </w:r>
    </w:p>
    <w:p w:rsidR="00875B00" w:rsidRDefault="00692571" w:rsidP="009503CC">
      <w:pPr>
        <w:spacing w:line="360" w:lineRule="auto"/>
        <w:jc w:val="both"/>
        <w:rPr>
          <w:rFonts w:ascii="Times New Roman" w:hAnsi="Times New Roman"/>
          <w:lang w:val="ru-RU"/>
        </w:rPr>
      </w:pPr>
      <w:r w:rsidRPr="009235E2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9235E2">
        <w:rPr>
          <w:rFonts w:ascii="Times New Roman" w:hAnsi="Times New Roman"/>
          <w:b/>
          <w:szCs w:val="24"/>
          <w:lang w:val="ru-RU"/>
        </w:rPr>
        <w:t xml:space="preserve">. </w:t>
      </w:r>
      <w:r w:rsidR="00875B00" w:rsidRPr="00875B00">
        <w:rPr>
          <w:rFonts w:ascii="Times New Roman" w:hAnsi="Times New Roman"/>
          <w:szCs w:val="24"/>
          <w:lang w:val="ru-RU"/>
        </w:rPr>
        <w:t xml:space="preserve">Таблетки белого или белого со </w:t>
      </w:r>
      <w:r w:rsidR="00875B00" w:rsidRPr="00875B00">
        <w:rPr>
          <w:rFonts w:ascii="Times New Roman" w:hAnsi="Times New Roman"/>
          <w:lang w:val="ru-RU"/>
        </w:rPr>
        <w:t>слабым желтоватым оттенком цвета плоскоцилиндрической формы, с фаской и риской.</w:t>
      </w:r>
    </w:p>
    <w:p w:rsidR="00692571" w:rsidRPr="00F52A69" w:rsidRDefault="00ED4A09" w:rsidP="009503C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195972">
        <w:rPr>
          <w:rFonts w:ascii="Times New Roman" w:hAnsi="Times New Roman"/>
          <w:szCs w:val="24"/>
          <w:lang w:val="ru-RU"/>
        </w:rPr>
        <w:t>Антибиотик</w:t>
      </w:r>
      <w:r w:rsidR="006076F6">
        <w:rPr>
          <w:rFonts w:ascii="Times New Roman" w:hAnsi="Times New Roman"/>
          <w:szCs w:val="24"/>
          <w:lang w:val="ru-RU"/>
        </w:rPr>
        <w:t>.</w:t>
      </w:r>
    </w:p>
    <w:p w:rsidR="00692571" w:rsidRPr="00106910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195972">
        <w:rPr>
          <w:rFonts w:ascii="Times New Roman" w:hAnsi="Times New Roman"/>
          <w:szCs w:val="24"/>
        </w:rPr>
        <w:t>J</w:t>
      </w:r>
      <w:r w:rsidR="00195972" w:rsidRPr="00FE69EA">
        <w:rPr>
          <w:rFonts w:ascii="Times New Roman" w:hAnsi="Times New Roman"/>
          <w:szCs w:val="24"/>
          <w:lang w:val="ru-RU"/>
        </w:rPr>
        <w:t>01</w:t>
      </w:r>
      <w:r w:rsidR="00195972">
        <w:rPr>
          <w:rFonts w:ascii="Times New Roman" w:hAnsi="Times New Roman"/>
          <w:szCs w:val="24"/>
        </w:rPr>
        <w:t>BA</w:t>
      </w:r>
      <w:r w:rsidR="00195972" w:rsidRPr="00FE69EA">
        <w:rPr>
          <w:rFonts w:ascii="Times New Roman" w:hAnsi="Times New Roman"/>
          <w:szCs w:val="24"/>
          <w:lang w:val="ru-RU"/>
        </w:rPr>
        <w:t>01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</w:p>
    <w:p w:rsidR="00195972" w:rsidRDefault="0008498E" w:rsidP="0098405D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Фармакодинамика</w:t>
      </w:r>
    </w:p>
    <w:p w:rsidR="00195972" w:rsidRDefault="0019597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Бактериостатический антибиотик широкого спектра действия, нарушает процесс си</w:t>
      </w:r>
      <w:r w:rsidR="006176D1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теза белка в микробной клетке на стадии переноса</w:t>
      </w:r>
      <w:r w:rsidR="006176D1">
        <w:rPr>
          <w:rFonts w:ascii="Times New Roman" w:hAnsi="Times New Roman"/>
          <w:szCs w:val="24"/>
          <w:lang w:val="ru-RU"/>
        </w:rPr>
        <w:t xml:space="preserve"> аминокислот т-РНК на рибосомы. Эффективен в отношении штаммов бактерий, устойчивых к пенициллину, тетрациклинам, сульфаниламидам.</w:t>
      </w:r>
    </w:p>
    <w:p w:rsidR="006176D1" w:rsidRDefault="006176D1" w:rsidP="0098405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Активен в отношении многих грамположительных и грамотрицательных бактерий, возбудителей гнойных инфекций, брюшного тифа, дизентерии, менингококковой инфекции, гемофильных бактерий, </w:t>
      </w:r>
      <w:r w:rsidR="009342FA">
        <w:rPr>
          <w:rFonts w:ascii="Times New Roman" w:hAnsi="Times New Roman"/>
          <w:szCs w:val="24"/>
        </w:rPr>
        <w:t>Escherichia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coli</w:t>
      </w:r>
      <w:r w:rsidR="009342FA" w:rsidRPr="009342FA">
        <w:rPr>
          <w:rFonts w:ascii="Times New Roman" w:hAnsi="Times New Roman"/>
          <w:szCs w:val="24"/>
          <w:lang w:val="ru-RU"/>
        </w:rPr>
        <w:t xml:space="preserve">, </w:t>
      </w:r>
      <w:r w:rsidR="009342FA">
        <w:rPr>
          <w:rFonts w:ascii="Times New Roman" w:hAnsi="Times New Roman"/>
          <w:szCs w:val="24"/>
        </w:rPr>
        <w:t>Shigella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dysenteria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., </w:t>
      </w:r>
      <w:r w:rsidR="009342FA">
        <w:rPr>
          <w:rFonts w:ascii="Times New Roman" w:hAnsi="Times New Roman"/>
          <w:szCs w:val="24"/>
        </w:rPr>
        <w:t>Shigella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flexneri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., </w:t>
      </w:r>
      <w:r w:rsidR="009342FA">
        <w:rPr>
          <w:rFonts w:ascii="Times New Roman" w:hAnsi="Times New Roman"/>
          <w:szCs w:val="24"/>
        </w:rPr>
        <w:t>Shigella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boydii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., </w:t>
      </w:r>
      <w:r w:rsidR="009342FA">
        <w:rPr>
          <w:rFonts w:ascii="Times New Roman" w:hAnsi="Times New Roman"/>
          <w:szCs w:val="24"/>
        </w:rPr>
        <w:t>Shigella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sonnei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., </w:t>
      </w:r>
      <w:r w:rsidR="009342FA">
        <w:rPr>
          <w:rFonts w:ascii="Times New Roman" w:hAnsi="Times New Roman"/>
          <w:szCs w:val="24"/>
        </w:rPr>
        <w:t>Salmonella</w:t>
      </w:r>
      <w:r w:rsidR="009342FA" w:rsidRPr="009342FA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9342FA">
        <w:rPr>
          <w:rFonts w:ascii="Times New Roman" w:hAnsi="Times New Roman"/>
          <w:szCs w:val="24"/>
          <w:lang w:val="ru-RU"/>
        </w:rPr>
        <w:t xml:space="preserve">. </w:t>
      </w:r>
      <w:r w:rsidR="009342FA" w:rsidRPr="00B42A62">
        <w:rPr>
          <w:rFonts w:ascii="Times New Roman" w:hAnsi="Times New Roman"/>
          <w:szCs w:val="24"/>
          <w:lang w:val="ru-RU"/>
        </w:rPr>
        <w:t>(</w:t>
      </w:r>
      <w:r w:rsidR="009342FA">
        <w:rPr>
          <w:rFonts w:ascii="Times New Roman" w:hAnsi="Times New Roman"/>
          <w:szCs w:val="24"/>
          <w:lang w:val="ru-RU"/>
        </w:rPr>
        <w:t>в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  <w:lang w:val="ru-RU"/>
        </w:rPr>
        <w:t>т</w:t>
      </w:r>
      <w:r w:rsidR="009342FA" w:rsidRPr="00B42A62">
        <w:rPr>
          <w:rFonts w:ascii="Times New Roman" w:hAnsi="Times New Roman"/>
          <w:szCs w:val="24"/>
          <w:lang w:val="ru-RU"/>
        </w:rPr>
        <w:t>.</w:t>
      </w:r>
      <w:r w:rsidR="009342FA">
        <w:rPr>
          <w:rFonts w:ascii="Times New Roman" w:hAnsi="Times New Roman"/>
          <w:szCs w:val="24"/>
          <w:lang w:val="ru-RU"/>
        </w:rPr>
        <w:t>ч</w:t>
      </w:r>
      <w:r w:rsidR="009342FA" w:rsidRPr="00B42A62">
        <w:rPr>
          <w:rFonts w:ascii="Times New Roman" w:hAnsi="Times New Roman"/>
          <w:szCs w:val="24"/>
          <w:lang w:val="ru-RU"/>
        </w:rPr>
        <w:t xml:space="preserve">. </w:t>
      </w:r>
      <w:r w:rsidR="009342FA">
        <w:rPr>
          <w:rFonts w:ascii="Times New Roman" w:hAnsi="Times New Roman"/>
          <w:szCs w:val="24"/>
        </w:rPr>
        <w:t>Salmonella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typhi</w:t>
      </w:r>
      <w:r w:rsidR="009342FA" w:rsidRPr="00B42A62">
        <w:rPr>
          <w:rFonts w:ascii="Times New Roman" w:hAnsi="Times New Roman"/>
          <w:szCs w:val="24"/>
          <w:lang w:val="ru-RU"/>
        </w:rPr>
        <w:t xml:space="preserve">, </w:t>
      </w:r>
      <w:r w:rsidR="009342FA">
        <w:rPr>
          <w:rFonts w:ascii="Times New Roman" w:hAnsi="Times New Roman"/>
          <w:szCs w:val="24"/>
        </w:rPr>
        <w:t>Salmonella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paratyphi</w:t>
      </w:r>
      <w:r w:rsidR="009342FA" w:rsidRPr="00B42A62">
        <w:rPr>
          <w:rFonts w:ascii="Times New Roman" w:hAnsi="Times New Roman"/>
          <w:szCs w:val="24"/>
          <w:lang w:val="ru-RU"/>
        </w:rPr>
        <w:t xml:space="preserve">), </w:t>
      </w:r>
      <w:r w:rsidR="009342FA">
        <w:rPr>
          <w:rFonts w:ascii="Times New Roman" w:hAnsi="Times New Roman"/>
          <w:szCs w:val="24"/>
        </w:rPr>
        <w:t>Staphylococcus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B42A62">
        <w:rPr>
          <w:rFonts w:ascii="Times New Roman" w:hAnsi="Times New Roman"/>
          <w:szCs w:val="24"/>
          <w:lang w:val="ru-RU"/>
        </w:rPr>
        <w:t xml:space="preserve">., </w:t>
      </w:r>
      <w:r w:rsidR="009342FA">
        <w:rPr>
          <w:rFonts w:ascii="Times New Roman" w:hAnsi="Times New Roman"/>
          <w:szCs w:val="24"/>
        </w:rPr>
        <w:t>Streptococcus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spp</w:t>
      </w:r>
      <w:r w:rsidR="009342FA" w:rsidRPr="00B42A62">
        <w:rPr>
          <w:rFonts w:ascii="Times New Roman" w:hAnsi="Times New Roman"/>
          <w:szCs w:val="24"/>
          <w:lang w:val="ru-RU"/>
        </w:rPr>
        <w:t>., (</w:t>
      </w:r>
      <w:r w:rsidR="009342FA">
        <w:rPr>
          <w:rFonts w:ascii="Times New Roman" w:hAnsi="Times New Roman"/>
          <w:szCs w:val="24"/>
          <w:lang w:val="ru-RU"/>
        </w:rPr>
        <w:t>в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  <w:lang w:val="ru-RU"/>
        </w:rPr>
        <w:t>т</w:t>
      </w:r>
      <w:r w:rsidR="009342FA" w:rsidRPr="00B42A62">
        <w:rPr>
          <w:rFonts w:ascii="Times New Roman" w:hAnsi="Times New Roman"/>
          <w:szCs w:val="24"/>
          <w:lang w:val="ru-RU"/>
        </w:rPr>
        <w:t>.</w:t>
      </w:r>
      <w:r w:rsidR="009342FA">
        <w:rPr>
          <w:rFonts w:ascii="Times New Roman" w:hAnsi="Times New Roman"/>
          <w:szCs w:val="24"/>
          <w:lang w:val="ru-RU"/>
        </w:rPr>
        <w:t>ч</w:t>
      </w:r>
      <w:r w:rsidR="009342FA" w:rsidRPr="00B42A62">
        <w:rPr>
          <w:rFonts w:ascii="Times New Roman" w:hAnsi="Times New Roman"/>
          <w:szCs w:val="24"/>
          <w:lang w:val="ru-RU"/>
        </w:rPr>
        <w:t xml:space="preserve">. </w:t>
      </w:r>
      <w:r w:rsidR="009342FA">
        <w:rPr>
          <w:rFonts w:ascii="Times New Roman" w:hAnsi="Times New Roman"/>
          <w:szCs w:val="24"/>
        </w:rPr>
        <w:t>Streptococcus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pneumoniae</w:t>
      </w:r>
      <w:r w:rsidR="009342FA" w:rsidRPr="00B42A62">
        <w:rPr>
          <w:rFonts w:ascii="Times New Roman" w:hAnsi="Times New Roman"/>
          <w:szCs w:val="24"/>
          <w:lang w:val="ru-RU"/>
        </w:rPr>
        <w:t xml:space="preserve">), </w:t>
      </w:r>
      <w:r w:rsidR="009342FA">
        <w:rPr>
          <w:rFonts w:ascii="Times New Roman" w:hAnsi="Times New Roman"/>
          <w:szCs w:val="24"/>
        </w:rPr>
        <w:t>Neisseria</w:t>
      </w:r>
      <w:r w:rsidR="009342FA" w:rsidRPr="00B42A62">
        <w:rPr>
          <w:rFonts w:ascii="Times New Roman" w:hAnsi="Times New Roman"/>
          <w:szCs w:val="24"/>
          <w:lang w:val="ru-RU"/>
        </w:rPr>
        <w:t xml:space="preserve"> </w:t>
      </w:r>
      <w:r w:rsidR="009342FA">
        <w:rPr>
          <w:rFonts w:ascii="Times New Roman" w:hAnsi="Times New Roman"/>
          <w:szCs w:val="24"/>
        </w:rPr>
        <w:t>meningitides</w:t>
      </w:r>
      <w:r w:rsidR="009342FA" w:rsidRPr="00B42A62">
        <w:rPr>
          <w:rFonts w:ascii="Times New Roman" w:hAnsi="Times New Roman"/>
          <w:szCs w:val="24"/>
          <w:lang w:val="ru-RU"/>
        </w:rPr>
        <w:t>,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  <w:lang w:val="ru-RU"/>
        </w:rPr>
        <w:t>ряда шта</w:t>
      </w:r>
      <w:r w:rsidR="00583C45">
        <w:rPr>
          <w:rFonts w:ascii="Times New Roman" w:hAnsi="Times New Roman"/>
          <w:szCs w:val="24"/>
          <w:lang w:val="ru-RU"/>
        </w:rPr>
        <w:t>м</w:t>
      </w:r>
      <w:r w:rsidR="00B42A62">
        <w:rPr>
          <w:rFonts w:ascii="Times New Roman" w:hAnsi="Times New Roman"/>
          <w:szCs w:val="24"/>
          <w:lang w:val="ru-RU"/>
        </w:rPr>
        <w:t xml:space="preserve">мов </w:t>
      </w:r>
      <w:r w:rsidR="00B42A62">
        <w:rPr>
          <w:rFonts w:ascii="Times New Roman" w:hAnsi="Times New Roman"/>
          <w:szCs w:val="24"/>
        </w:rPr>
        <w:t>Proteus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spp</w:t>
      </w:r>
      <w:r w:rsidR="00B42A62" w:rsidRPr="00B42A62">
        <w:rPr>
          <w:rFonts w:ascii="Times New Roman" w:hAnsi="Times New Roman"/>
          <w:szCs w:val="24"/>
          <w:lang w:val="ru-RU"/>
        </w:rPr>
        <w:t xml:space="preserve">., </w:t>
      </w:r>
      <w:r w:rsidR="00B42A62">
        <w:rPr>
          <w:rFonts w:ascii="Times New Roman" w:hAnsi="Times New Roman"/>
          <w:szCs w:val="24"/>
        </w:rPr>
        <w:t>Pseudomonas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pseudomallei</w:t>
      </w:r>
      <w:r w:rsidR="00B42A62">
        <w:rPr>
          <w:rFonts w:ascii="Times New Roman" w:hAnsi="Times New Roman"/>
          <w:szCs w:val="24"/>
          <w:lang w:val="ru-RU"/>
        </w:rPr>
        <w:t xml:space="preserve">; </w:t>
      </w:r>
      <w:r w:rsidR="00B42A62">
        <w:rPr>
          <w:rFonts w:ascii="Times New Roman" w:hAnsi="Times New Roman"/>
          <w:szCs w:val="24"/>
        </w:rPr>
        <w:t>Rickettsia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spp</w:t>
      </w:r>
      <w:r w:rsidR="00B42A62" w:rsidRPr="00B42A62">
        <w:rPr>
          <w:rFonts w:ascii="Times New Roman" w:hAnsi="Times New Roman"/>
          <w:szCs w:val="24"/>
          <w:lang w:val="ru-RU"/>
        </w:rPr>
        <w:t xml:space="preserve">., </w:t>
      </w:r>
      <w:r w:rsidR="00B42A62">
        <w:rPr>
          <w:rFonts w:ascii="Times New Roman" w:hAnsi="Times New Roman"/>
          <w:szCs w:val="24"/>
        </w:rPr>
        <w:t>Treponema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spp</w:t>
      </w:r>
      <w:r w:rsidR="00B42A62" w:rsidRPr="00B42A62">
        <w:rPr>
          <w:rFonts w:ascii="Times New Roman" w:hAnsi="Times New Roman"/>
          <w:szCs w:val="24"/>
          <w:lang w:val="ru-RU"/>
        </w:rPr>
        <w:t xml:space="preserve">., </w:t>
      </w:r>
      <w:r w:rsidR="00B42A62">
        <w:rPr>
          <w:rFonts w:ascii="Times New Roman" w:hAnsi="Times New Roman"/>
          <w:szCs w:val="24"/>
        </w:rPr>
        <w:t>Leptospira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spp</w:t>
      </w:r>
      <w:r w:rsidR="00B42A62" w:rsidRPr="00B42A62">
        <w:rPr>
          <w:rFonts w:ascii="Times New Roman" w:hAnsi="Times New Roman"/>
          <w:szCs w:val="24"/>
          <w:lang w:val="ru-RU"/>
        </w:rPr>
        <w:t xml:space="preserve">., </w:t>
      </w:r>
      <w:r w:rsidR="00B42A62">
        <w:rPr>
          <w:rFonts w:ascii="Times New Roman" w:hAnsi="Times New Roman"/>
          <w:szCs w:val="24"/>
        </w:rPr>
        <w:t>Chlamyda</w:t>
      </w:r>
      <w:r w:rsidR="00B42A62" w:rsidRPr="00B42A62">
        <w:rPr>
          <w:rFonts w:ascii="Times New Roman" w:hAnsi="Times New Roman"/>
          <w:szCs w:val="24"/>
          <w:lang w:val="ru-RU"/>
        </w:rPr>
        <w:t xml:space="preserve"> </w:t>
      </w:r>
      <w:r w:rsidR="00B42A62">
        <w:rPr>
          <w:rFonts w:ascii="Times New Roman" w:hAnsi="Times New Roman"/>
          <w:szCs w:val="24"/>
        </w:rPr>
        <w:t>spp</w:t>
      </w:r>
      <w:r w:rsidR="00B42A62" w:rsidRPr="00B42A62">
        <w:rPr>
          <w:rFonts w:ascii="Times New Roman" w:hAnsi="Times New Roman"/>
          <w:szCs w:val="24"/>
          <w:lang w:val="ru-RU"/>
        </w:rPr>
        <w:t xml:space="preserve">. </w:t>
      </w:r>
      <w:r w:rsidR="00B42A62">
        <w:rPr>
          <w:rFonts w:ascii="Times New Roman" w:hAnsi="Times New Roman"/>
          <w:szCs w:val="24"/>
        </w:rPr>
        <w:t>(</w:t>
      </w:r>
      <w:r w:rsidR="00B42A62">
        <w:rPr>
          <w:rFonts w:ascii="Times New Roman" w:hAnsi="Times New Roman"/>
          <w:szCs w:val="24"/>
          <w:lang w:val="ru-RU"/>
        </w:rPr>
        <w:t>в</w:t>
      </w:r>
      <w:r w:rsidR="00B42A62" w:rsidRPr="00B42A62">
        <w:rPr>
          <w:rFonts w:ascii="Times New Roman" w:hAnsi="Times New Roman"/>
          <w:szCs w:val="24"/>
        </w:rPr>
        <w:t xml:space="preserve"> </w:t>
      </w:r>
      <w:r w:rsidR="00B42A62">
        <w:rPr>
          <w:rFonts w:ascii="Times New Roman" w:hAnsi="Times New Roman"/>
          <w:szCs w:val="24"/>
          <w:lang w:val="ru-RU"/>
        </w:rPr>
        <w:t>т</w:t>
      </w:r>
      <w:r w:rsidR="00B42A62" w:rsidRPr="00B42A62">
        <w:rPr>
          <w:rFonts w:ascii="Times New Roman" w:hAnsi="Times New Roman"/>
          <w:szCs w:val="24"/>
        </w:rPr>
        <w:t>.</w:t>
      </w:r>
      <w:r w:rsidR="00B42A62">
        <w:rPr>
          <w:rFonts w:ascii="Times New Roman" w:hAnsi="Times New Roman"/>
          <w:szCs w:val="24"/>
          <w:lang w:val="ru-RU"/>
        </w:rPr>
        <w:t>ч</w:t>
      </w:r>
      <w:r w:rsidR="00B42A62" w:rsidRPr="00B42A62">
        <w:rPr>
          <w:rFonts w:ascii="Times New Roman" w:hAnsi="Times New Roman"/>
          <w:szCs w:val="24"/>
        </w:rPr>
        <w:t xml:space="preserve">. </w:t>
      </w:r>
      <w:r w:rsidR="00B42A62">
        <w:rPr>
          <w:rFonts w:ascii="Times New Roman" w:hAnsi="Times New Roman"/>
          <w:szCs w:val="24"/>
        </w:rPr>
        <w:t>Chlamydia trahomatis), Coxiella burnetti, Ehrlichia canis, Bacteroides fragilis, Klebsiella pneumonia</w:t>
      </w:r>
      <w:r w:rsidR="00583C45">
        <w:rPr>
          <w:rFonts w:ascii="Times New Roman" w:hAnsi="Times New Roman"/>
          <w:szCs w:val="24"/>
        </w:rPr>
        <w:t>e</w:t>
      </w:r>
      <w:r w:rsidR="00B42A62">
        <w:rPr>
          <w:rFonts w:ascii="Times New Roman" w:hAnsi="Times New Roman"/>
          <w:szCs w:val="24"/>
        </w:rPr>
        <w:t>,</w:t>
      </w:r>
      <w:r w:rsidR="00583C45">
        <w:rPr>
          <w:rFonts w:ascii="Times New Roman" w:hAnsi="Times New Roman"/>
          <w:szCs w:val="24"/>
        </w:rPr>
        <w:t xml:space="preserve"> Haemophilus influenzae.</w:t>
      </w:r>
    </w:p>
    <w:p w:rsidR="00583C45" w:rsidRPr="00A958C1" w:rsidRDefault="00583C45" w:rsidP="0098405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Не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действует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кислотоустойчивые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бактерии</w:t>
      </w:r>
      <w:r w:rsidRPr="00583C4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lang w:val="ru-RU"/>
        </w:rPr>
        <w:t>в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т</w:t>
      </w:r>
      <w:r w:rsidRPr="00583C4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ru-RU"/>
        </w:rPr>
        <w:t>ч</w:t>
      </w:r>
      <w:r w:rsidRPr="00583C4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Mycobacterium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tuberculosis</w:t>
      </w:r>
      <w:r w:rsidRPr="00583C45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  <w:lang w:val="ru-RU"/>
        </w:rPr>
        <w:t>синегнойную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палочку</w:t>
      </w:r>
      <w:r w:rsidRPr="00583C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ru-RU"/>
        </w:rPr>
        <w:t>клостридии</w:t>
      </w:r>
      <w:r w:rsidRPr="00583C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ru-RU"/>
        </w:rPr>
        <w:t>устойчивые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к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метициллину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штаммы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стафилококков</w:t>
      </w:r>
      <w:r w:rsidRPr="00583C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Acinetobacter, Enterobacter, Serratia marcescens, </w:t>
      </w:r>
      <w:r>
        <w:rPr>
          <w:rFonts w:ascii="Times New Roman" w:hAnsi="Times New Roman"/>
          <w:szCs w:val="24"/>
          <w:lang w:val="ru-RU"/>
        </w:rPr>
        <w:t>индолположительные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штаммы</w:t>
      </w:r>
      <w:r w:rsidRPr="00583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Proteus spp., Pseudomonas</w:t>
      </w:r>
      <w:r w:rsidR="00A958C1">
        <w:rPr>
          <w:rFonts w:ascii="Times New Roman" w:hAnsi="Times New Roman"/>
          <w:szCs w:val="24"/>
        </w:rPr>
        <w:t xml:space="preserve"> aeruginosa spp.</w:t>
      </w:r>
      <w:r w:rsidR="00A958C1" w:rsidRPr="00A958C1">
        <w:rPr>
          <w:rFonts w:ascii="Times New Roman" w:hAnsi="Times New Roman"/>
          <w:szCs w:val="24"/>
        </w:rPr>
        <w:t xml:space="preserve">, </w:t>
      </w:r>
      <w:r w:rsidR="00A958C1">
        <w:rPr>
          <w:rFonts w:ascii="Times New Roman" w:hAnsi="Times New Roman"/>
          <w:szCs w:val="24"/>
          <w:lang w:val="ru-RU"/>
        </w:rPr>
        <w:t>простейшие</w:t>
      </w:r>
      <w:r w:rsidR="00A958C1" w:rsidRPr="00A958C1">
        <w:rPr>
          <w:rFonts w:ascii="Times New Roman" w:hAnsi="Times New Roman"/>
          <w:szCs w:val="24"/>
        </w:rPr>
        <w:t xml:space="preserve"> </w:t>
      </w:r>
      <w:r w:rsidR="00A958C1">
        <w:rPr>
          <w:rFonts w:ascii="Times New Roman" w:hAnsi="Times New Roman"/>
          <w:szCs w:val="24"/>
          <w:lang w:val="ru-RU"/>
        </w:rPr>
        <w:t>грибы</w:t>
      </w:r>
      <w:r w:rsidR="00A958C1" w:rsidRPr="00A958C1">
        <w:rPr>
          <w:rFonts w:ascii="Times New Roman" w:hAnsi="Times New Roman"/>
          <w:szCs w:val="24"/>
        </w:rPr>
        <w:t>.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Устойчивость микроорганизмов развивается медленно.</w:t>
      </w:r>
    </w:p>
    <w:p w:rsidR="00A958C1" w:rsidRDefault="0008498E" w:rsidP="0098405D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Фармакокинетика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Абсорбция – 90 % (быстрая и почти полная). Биодоступность – 80 %. Св</w:t>
      </w:r>
      <w:r w:rsidR="00072906">
        <w:rPr>
          <w:rFonts w:ascii="Times New Roman" w:hAnsi="Times New Roman"/>
          <w:szCs w:val="24"/>
          <w:lang w:val="ru-RU"/>
        </w:rPr>
        <w:t xml:space="preserve">язь с белками плазмы – 50-60 %. </w:t>
      </w:r>
      <w:r>
        <w:rPr>
          <w:rFonts w:ascii="Times New Roman" w:hAnsi="Times New Roman"/>
          <w:szCs w:val="24"/>
          <w:lang w:val="ru-RU"/>
        </w:rPr>
        <w:t>Время достижения максимальной концентрации после перорального приема 1-3 ч. Объем распределения – 0,6-1,0 л</w:t>
      </w:r>
      <w:r w:rsidRPr="00A958C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кг. Терапевтическая концентрация в крови сохраняется в течение 4-5 ч после приема.</w:t>
      </w:r>
    </w:p>
    <w:p w:rsidR="00A958C1" w:rsidRDefault="00A958C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Хорошо проникает в жидкости и ткани организма. Наибольшие концентрации создаются в печени и почках. В желчи обнаруживается до 30 % от введенной дозы. Мак</w:t>
      </w:r>
      <w:r w:rsidR="006821B7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>имальная концентрация в спинномозговой жидкости определяется через 4-5 ч после однократного введения внутрь и может достигать при невоспал</w:t>
      </w:r>
      <w:r w:rsidR="006821B7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н</w:t>
      </w:r>
      <w:r w:rsidR="006821B7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ых мозговых оболочках 21-50 % от максимальной концентрации в плазме и 45-89 % - при воспаленных мозговых оболочках. </w:t>
      </w:r>
      <w:r w:rsidR="006821B7">
        <w:rPr>
          <w:rFonts w:ascii="Times New Roman" w:hAnsi="Times New Roman"/>
          <w:szCs w:val="24"/>
          <w:lang w:val="ru-RU"/>
        </w:rPr>
        <w:t>Проходи</w:t>
      </w:r>
      <w:r>
        <w:rPr>
          <w:rFonts w:ascii="Times New Roman" w:hAnsi="Times New Roman"/>
          <w:szCs w:val="24"/>
          <w:lang w:val="ru-RU"/>
        </w:rPr>
        <w:t>т через плацентарный барьер, концентрации в сыворотке крови плода могут составлять 30-80 % от концентрации</w:t>
      </w:r>
      <w:r w:rsidR="006821B7">
        <w:rPr>
          <w:rFonts w:ascii="Times New Roman" w:hAnsi="Times New Roman"/>
          <w:szCs w:val="24"/>
          <w:lang w:val="ru-RU"/>
        </w:rPr>
        <w:t xml:space="preserve"> в крови матери. Проникает в грудное молоко. Основное количество (90 %) метаболизируется в печени. В кишечнике под действием кишечных бактерий гидролизуется с образованием неактивных метаболитов.</w:t>
      </w:r>
    </w:p>
    <w:p w:rsidR="006821B7" w:rsidRPr="00A958C1" w:rsidRDefault="006821B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Выводится в течение 24 ч почками -</w:t>
      </w:r>
      <w:r w:rsidR="0008498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90 % (путем клубочковой фильтрации – 5-10 % в неизменном виде, путем канальцевой секреции в виде неактивных метаболитов – 80 %), через кишечник – 1-3 %. Период полувыведения у взрослых – 1,5-3,5 ч, при нарушении функции почек – 3-11 ч. Период полувыведения у детей – от </w:t>
      </w:r>
      <w:r w:rsidR="00072906">
        <w:rPr>
          <w:rFonts w:ascii="Times New Roman" w:hAnsi="Times New Roman"/>
          <w:szCs w:val="24"/>
          <w:lang w:val="ru-RU"/>
        </w:rPr>
        <w:t>3 лет</w:t>
      </w:r>
      <w:r>
        <w:rPr>
          <w:rFonts w:ascii="Times New Roman" w:hAnsi="Times New Roman"/>
          <w:szCs w:val="24"/>
          <w:lang w:val="ru-RU"/>
        </w:rPr>
        <w:t xml:space="preserve"> до 16 лет – 3-6,5 ч, у новорожден</w:t>
      </w:r>
      <w:r>
        <w:rPr>
          <w:rFonts w:ascii="Times New Roman" w:hAnsi="Times New Roman"/>
          <w:szCs w:val="24"/>
          <w:lang w:val="ru-RU"/>
        </w:rPr>
        <w:lastRenderedPageBreak/>
        <w:t xml:space="preserve">ных от 1 до 2 дней – 24 </w:t>
      </w:r>
      <w:r w:rsidR="00354A1A">
        <w:rPr>
          <w:rFonts w:ascii="Times New Roman" w:hAnsi="Times New Roman"/>
          <w:szCs w:val="24"/>
          <w:lang w:val="ru-RU"/>
        </w:rPr>
        <w:t>ч и более (варьируе</w:t>
      </w:r>
      <w:r>
        <w:rPr>
          <w:rFonts w:ascii="Times New Roman" w:hAnsi="Times New Roman"/>
          <w:szCs w:val="24"/>
          <w:lang w:val="ru-RU"/>
        </w:rPr>
        <w:t>т особенно у детей с малой массой тела при рождении), 10-16 дней – 10 ч. Слабо выводится в ходе гемодиализа.</w:t>
      </w:r>
    </w:p>
    <w:p w:rsidR="00FE69EA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E69EA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Pr="00FE69EA">
        <w:rPr>
          <w:rFonts w:ascii="Times New Roman" w:hAnsi="Times New Roman"/>
          <w:szCs w:val="24"/>
          <w:lang w:val="ru-RU"/>
        </w:rPr>
        <w:cr/>
      </w:r>
      <w:r w:rsidR="00FE69EA">
        <w:rPr>
          <w:rFonts w:ascii="Times New Roman" w:hAnsi="Times New Roman"/>
          <w:szCs w:val="24"/>
          <w:lang w:val="ru-RU"/>
        </w:rPr>
        <w:t>Инфекции мочевыводящих и желчевыводящих путей, вызванные чувствительными к хлорамфениколу микроорганизмами.</w:t>
      </w:r>
    </w:p>
    <w:p w:rsidR="00FE69EA" w:rsidRDefault="00FE69E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E69EA">
        <w:rPr>
          <w:rFonts w:ascii="Times New Roman" w:hAnsi="Times New Roman"/>
          <w:b/>
          <w:szCs w:val="24"/>
          <w:lang w:val="ru-RU"/>
        </w:rPr>
        <w:t xml:space="preserve"> </w:t>
      </w:r>
      <w:r w:rsidR="00894943" w:rsidRPr="00FE69EA">
        <w:rPr>
          <w:rFonts w:ascii="Times New Roman" w:hAnsi="Times New Roman"/>
          <w:b/>
          <w:szCs w:val="24"/>
          <w:lang w:val="ru-RU"/>
        </w:rPr>
        <w:t>Противопоказания</w:t>
      </w:r>
      <w:r w:rsidR="00894943" w:rsidRPr="00FE69EA">
        <w:rPr>
          <w:rFonts w:ascii="Times New Roman" w:hAnsi="Times New Roman"/>
          <w:b/>
          <w:szCs w:val="24"/>
          <w:lang w:val="ru-RU"/>
        </w:rPr>
        <w:cr/>
      </w:r>
      <w:r>
        <w:rPr>
          <w:rFonts w:ascii="Times New Roman" w:hAnsi="Times New Roman"/>
          <w:szCs w:val="24"/>
          <w:lang w:val="ru-RU"/>
        </w:rPr>
        <w:t>Повышенная чувствительность к хлорамфениколу, другим компонентам препарата, угнетение костномозгового кроветворения, острая интермиттирующая порфирия, дефицит глюкозо-6-фосфатдегидрогеназы, печеночная и</w:t>
      </w:r>
      <w:r w:rsidRPr="00FE69EA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</w:t>
      </w:r>
      <w:r w:rsidR="00CF7130">
        <w:rPr>
          <w:rFonts w:ascii="Times New Roman" w:hAnsi="Times New Roman"/>
          <w:szCs w:val="24"/>
          <w:lang w:val="ru-RU"/>
        </w:rPr>
        <w:t xml:space="preserve">почечная недостаточность, </w:t>
      </w:r>
      <w:r w:rsidR="00D45848">
        <w:rPr>
          <w:rFonts w:ascii="Times New Roman" w:hAnsi="Times New Roman"/>
          <w:szCs w:val="24"/>
          <w:lang w:val="ru-RU"/>
        </w:rPr>
        <w:t xml:space="preserve">беременность, период </w:t>
      </w:r>
      <w:r w:rsidR="00072906">
        <w:rPr>
          <w:rFonts w:ascii="Times New Roman" w:hAnsi="Times New Roman"/>
          <w:szCs w:val="24"/>
          <w:lang w:val="ru-RU"/>
        </w:rPr>
        <w:t>грудного вскармливания</w:t>
      </w:r>
      <w:r w:rsidR="00D45848">
        <w:rPr>
          <w:rFonts w:ascii="Times New Roman" w:hAnsi="Times New Roman"/>
          <w:szCs w:val="24"/>
          <w:lang w:val="ru-RU"/>
        </w:rPr>
        <w:t>, детский возраст до 3-х лет и с массой тела менее 20 кг.</w:t>
      </w:r>
    </w:p>
    <w:p w:rsidR="00D45848" w:rsidRDefault="0008498E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 осторожностью</w:t>
      </w:r>
      <w:r w:rsidR="00D45848">
        <w:rPr>
          <w:rFonts w:ascii="Times New Roman" w:hAnsi="Times New Roman"/>
          <w:b/>
          <w:szCs w:val="24"/>
          <w:lang w:val="ru-RU"/>
        </w:rPr>
        <w:t xml:space="preserve"> </w:t>
      </w:r>
    </w:p>
    <w:p w:rsidR="00D45848" w:rsidRPr="00D45848" w:rsidRDefault="00D45848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Пациентам, получившим ранее лечение цитостатическими препаратами или лучевую терапию.</w:t>
      </w:r>
    </w:p>
    <w:p w:rsidR="003724AC" w:rsidRPr="00D45848" w:rsidRDefault="00FE69EA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 xml:space="preserve"> </w:t>
      </w:r>
      <w:r w:rsidR="003724AC" w:rsidRPr="00D45848">
        <w:rPr>
          <w:rFonts w:ascii="Times New Roman" w:hAnsi="Times New Roman"/>
          <w:b/>
          <w:szCs w:val="24"/>
          <w:lang w:val="ru-RU"/>
        </w:rPr>
        <w:t xml:space="preserve">Применение при беременности и </w:t>
      </w:r>
      <w:r w:rsidR="0008498E">
        <w:rPr>
          <w:rFonts w:ascii="Times New Roman" w:hAnsi="Times New Roman"/>
          <w:b/>
          <w:szCs w:val="24"/>
          <w:lang w:val="ru-RU"/>
        </w:rPr>
        <w:t>в период грудного вскармливания</w:t>
      </w:r>
    </w:p>
    <w:p w:rsidR="002F36A0" w:rsidRPr="00D45848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45848">
        <w:rPr>
          <w:rFonts w:ascii="Times New Roman" w:hAnsi="Times New Roman"/>
          <w:szCs w:val="24"/>
          <w:lang w:val="ru-RU"/>
        </w:rPr>
        <w:t xml:space="preserve">Прием препарата при беременности и в период грудного вскармливания </w:t>
      </w:r>
      <w:r w:rsidR="005B3CA2" w:rsidRPr="00D45848">
        <w:rPr>
          <w:rFonts w:ascii="Times New Roman" w:hAnsi="Times New Roman"/>
          <w:szCs w:val="24"/>
          <w:lang w:val="ru-RU"/>
        </w:rPr>
        <w:t>противопоказан.</w:t>
      </w:r>
    </w:p>
    <w:p w:rsidR="000B4680" w:rsidRPr="00D45848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Pr="00A958C1">
        <w:rPr>
          <w:rFonts w:ascii="Times New Roman" w:hAnsi="Times New Roman"/>
          <w:b/>
          <w:szCs w:val="24"/>
          <w:highlight w:val="yellow"/>
          <w:lang w:val="ru-RU"/>
        </w:rPr>
        <w:cr/>
      </w:r>
      <w:r w:rsidR="00BD1FB7" w:rsidRPr="00D45848">
        <w:rPr>
          <w:rFonts w:ascii="Times New Roman" w:hAnsi="Times New Roman"/>
          <w:szCs w:val="24"/>
          <w:lang w:val="ru-RU"/>
        </w:rPr>
        <w:t>Внутрь</w:t>
      </w:r>
      <w:r w:rsidR="00D45848" w:rsidRPr="00D45848">
        <w:rPr>
          <w:rFonts w:ascii="Times New Roman" w:hAnsi="Times New Roman"/>
          <w:szCs w:val="24"/>
          <w:lang w:val="ru-RU"/>
        </w:rPr>
        <w:t xml:space="preserve"> (за 30 мин до еды, а при развитии тошноты и рвоты – через 1 ч после еды) 3-4 раза в сутки. Разовая доза для взрослых – 250-500 мг, суточная – 2000 мг. Детям старше 3-х лет и с массой тела более 20 кг применяют по 12,5 мг/кг каждые 6 ч или 25 мг/кг каждые 12 ч, (под контролем концентрации препарата в сыворотке крови). Средняя продолжительность курса лечения – 8-10 дней.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Побочное действие</w:t>
      </w:r>
    </w:p>
    <w:p w:rsidR="00D45848" w:rsidRDefault="0007290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="00D45848" w:rsidRPr="00D45848">
        <w:rPr>
          <w:rFonts w:ascii="Times New Roman" w:hAnsi="Times New Roman"/>
          <w:i/>
          <w:szCs w:val="24"/>
          <w:lang w:val="ru-RU"/>
        </w:rPr>
        <w:t>о стороны пищеварительной системы:</w:t>
      </w:r>
      <w:r w:rsidR="00D45848">
        <w:rPr>
          <w:rFonts w:ascii="Times New Roman" w:hAnsi="Times New Roman"/>
          <w:b/>
          <w:szCs w:val="24"/>
          <w:lang w:val="ru-RU"/>
        </w:rPr>
        <w:t xml:space="preserve"> </w:t>
      </w:r>
      <w:r w:rsidR="00D45848" w:rsidRPr="00D45848">
        <w:rPr>
          <w:rFonts w:ascii="Times New Roman" w:hAnsi="Times New Roman"/>
          <w:szCs w:val="24"/>
          <w:lang w:val="ru-RU"/>
        </w:rPr>
        <w:t>диспепсия, тошнота, рвота (вероятность развития с</w:t>
      </w:r>
      <w:r w:rsidR="00D45848">
        <w:rPr>
          <w:rFonts w:ascii="Times New Roman" w:hAnsi="Times New Roman"/>
          <w:szCs w:val="24"/>
          <w:lang w:val="ru-RU"/>
        </w:rPr>
        <w:t>нижается при приеме через 1 ч после еды), диарея, раздражение слизистой оболочки полости рта и зева, дисбактериоз (подавление нормальной микрофлоры).</w:t>
      </w:r>
    </w:p>
    <w:p w:rsidR="00DB725C" w:rsidRDefault="0007290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 стороны органов кроветворения:</w:t>
      </w:r>
      <w:r>
        <w:rPr>
          <w:rFonts w:ascii="Times New Roman" w:hAnsi="Times New Roman"/>
          <w:szCs w:val="24"/>
          <w:lang w:val="ru-RU"/>
        </w:rPr>
        <w:t xml:space="preserve"> ретикулоцитопения, лейкопения, гранулоцитопен</w:t>
      </w:r>
      <w:r w:rsidR="00DB725C">
        <w:rPr>
          <w:rFonts w:ascii="Times New Roman" w:hAnsi="Times New Roman"/>
          <w:szCs w:val="24"/>
          <w:lang w:val="ru-RU"/>
        </w:rPr>
        <w:t>ия, тромбоцитопения, эритроцитопения; апластическая анемия, агранулоцитоз.</w:t>
      </w:r>
    </w:p>
    <w:p w:rsidR="00DB725C" w:rsidRDefault="0007290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 стороны нервной системы:</w:t>
      </w:r>
      <w:r w:rsidR="00DB725C">
        <w:rPr>
          <w:rFonts w:ascii="Times New Roman" w:hAnsi="Times New Roman"/>
          <w:szCs w:val="24"/>
          <w:lang w:val="ru-RU"/>
        </w:rPr>
        <w:t xml:space="preserve"> психомоторные расстройства, депрессия, спутанность сознания, периферический неврит, неврит зрительного нерва, зрительные и слуховые галлюцинации, снижение остроты зрения и слуха, головная боль.</w:t>
      </w:r>
    </w:p>
    <w:p w:rsidR="00DB725C" w:rsidRDefault="0007290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Pr="00DB725C">
        <w:rPr>
          <w:rFonts w:ascii="Times New Roman" w:hAnsi="Times New Roman"/>
          <w:i/>
          <w:szCs w:val="24"/>
          <w:lang w:val="ru-RU"/>
        </w:rPr>
        <w:t xml:space="preserve"> стороны </w:t>
      </w:r>
      <w:r>
        <w:rPr>
          <w:rFonts w:ascii="Times New Roman" w:hAnsi="Times New Roman"/>
          <w:i/>
          <w:szCs w:val="24"/>
          <w:lang w:val="ru-RU"/>
        </w:rPr>
        <w:t>иммунной</w:t>
      </w:r>
      <w:r w:rsidRPr="00DB725C">
        <w:rPr>
          <w:rFonts w:ascii="Times New Roman" w:hAnsi="Times New Roman"/>
          <w:i/>
          <w:szCs w:val="24"/>
          <w:lang w:val="ru-RU"/>
        </w:rPr>
        <w:t xml:space="preserve"> системы</w:t>
      </w:r>
      <w:r w:rsidR="00DB725C" w:rsidRPr="00DB725C">
        <w:rPr>
          <w:rFonts w:ascii="Times New Roman" w:hAnsi="Times New Roman"/>
          <w:i/>
          <w:szCs w:val="24"/>
          <w:lang w:val="ru-RU"/>
        </w:rPr>
        <w:t xml:space="preserve">: </w:t>
      </w:r>
      <w:r w:rsidR="00DB725C">
        <w:rPr>
          <w:rFonts w:ascii="Times New Roman" w:hAnsi="Times New Roman"/>
          <w:szCs w:val="24"/>
          <w:lang w:val="ru-RU"/>
        </w:rPr>
        <w:t>кожная сыпь, ангионевротический отек.</w:t>
      </w:r>
    </w:p>
    <w:p w:rsidR="00DB725C" w:rsidRPr="00DB725C" w:rsidRDefault="00DB725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B725C">
        <w:rPr>
          <w:rFonts w:ascii="Times New Roman" w:hAnsi="Times New Roman"/>
          <w:i/>
          <w:szCs w:val="24"/>
          <w:lang w:val="ru-RU"/>
        </w:rPr>
        <w:t>Прочие:</w:t>
      </w:r>
      <w:r>
        <w:rPr>
          <w:rFonts w:ascii="Times New Roman" w:hAnsi="Times New Roman"/>
          <w:szCs w:val="24"/>
          <w:lang w:val="ru-RU"/>
        </w:rPr>
        <w:t xml:space="preserve"> вторичная грибковая инфекция.</w:t>
      </w:r>
    </w:p>
    <w:p w:rsidR="00106910" w:rsidRPr="009235E2" w:rsidRDefault="00894943" w:rsidP="0098405D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DB725C">
        <w:rPr>
          <w:rFonts w:ascii="Times New Roman" w:hAnsi="Times New Roman"/>
          <w:b/>
          <w:szCs w:val="24"/>
          <w:lang w:val="ru-RU"/>
        </w:rPr>
        <w:lastRenderedPageBreak/>
        <w:t>Передозировка</w:t>
      </w:r>
      <w:r w:rsidRPr="00A958C1">
        <w:rPr>
          <w:rFonts w:ascii="Times New Roman" w:hAnsi="Times New Roman"/>
          <w:szCs w:val="24"/>
          <w:highlight w:val="yellow"/>
          <w:lang w:val="ru-RU"/>
        </w:rPr>
        <w:cr/>
      </w:r>
      <w:r w:rsidR="00DB725C" w:rsidRPr="009235E2">
        <w:rPr>
          <w:rFonts w:ascii="Times New Roman" w:hAnsi="Times New Roman"/>
          <w:i/>
          <w:shd w:val="clear" w:color="auto" w:fill="FFFFFF"/>
          <w:lang w:val="ru-RU"/>
        </w:rPr>
        <w:t>Симптомы:</w:t>
      </w:r>
      <w:r w:rsidR="00DB725C" w:rsidRPr="009235E2">
        <w:rPr>
          <w:rFonts w:ascii="Times New Roman" w:hAnsi="Times New Roman"/>
          <w:shd w:val="clear" w:color="auto" w:fill="FFFFFF"/>
          <w:lang w:val="ru-RU"/>
        </w:rPr>
        <w:t xml:space="preserve"> угнетение костномозгового кроветворения, желудочно-кишечные расстройства, поражения печени и почек, нейропатия (в том числе зрительного нерва)</w:t>
      </w:r>
      <w:r w:rsidR="00CA5EB9" w:rsidRPr="009235E2">
        <w:rPr>
          <w:rFonts w:ascii="Times New Roman" w:hAnsi="Times New Roman"/>
          <w:shd w:val="clear" w:color="auto" w:fill="FFFFFF"/>
          <w:lang w:val="ru-RU"/>
        </w:rPr>
        <w:t xml:space="preserve"> и ретинопатия.</w:t>
      </w:r>
    </w:p>
    <w:p w:rsidR="00CA5EB9" w:rsidRPr="009235E2" w:rsidRDefault="00CA5EB9" w:rsidP="0098405D">
      <w:pPr>
        <w:spacing w:line="360" w:lineRule="auto"/>
        <w:jc w:val="both"/>
        <w:rPr>
          <w:rFonts w:ascii="Arial" w:hAnsi="Arial" w:cs="Arial"/>
          <w:highlight w:val="yellow"/>
          <w:shd w:val="clear" w:color="auto" w:fill="FFFFFF"/>
          <w:lang w:val="ru-RU"/>
        </w:rPr>
      </w:pPr>
      <w:r w:rsidRPr="009235E2">
        <w:rPr>
          <w:rFonts w:ascii="Times New Roman" w:hAnsi="Times New Roman"/>
          <w:i/>
          <w:shd w:val="clear" w:color="auto" w:fill="FFFFFF"/>
          <w:lang w:val="ru-RU"/>
        </w:rPr>
        <w:t xml:space="preserve">Лечение: </w:t>
      </w:r>
      <w:r w:rsidRPr="009235E2">
        <w:rPr>
          <w:rFonts w:ascii="Times New Roman" w:hAnsi="Times New Roman"/>
          <w:shd w:val="clear" w:color="auto" w:fill="FFFFFF"/>
          <w:lang w:val="ru-RU"/>
        </w:rPr>
        <w:t>гемосорбция, симптоматическая терапия.</w:t>
      </w:r>
    </w:p>
    <w:p w:rsidR="00894943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CA5EB9">
        <w:rPr>
          <w:rFonts w:ascii="Times New Roman" w:hAnsi="Times New Roman"/>
          <w:b/>
          <w:szCs w:val="24"/>
          <w:lang w:val="ru-RU"/>
        </w:rPr>
        <w:t xml:space="preserve">Взаимодействие с другими лекарственными </w:t>
      </w:r>
      <w:r w:rsidR="00072906">
        <w:rPr>
          <w:rFonts w:ascii="Times New Roman" w:hAnsi="Times New Roman"/>
          <w:b/>
          <w:szCs w:val="24"/>
          <w:lang w:val="ru-RU"/>
        </w:rPr>
        <w:t>средствами</w:t>
      </w:r>
    </w:p>
    <w:p w:rsidR="00CA5EB9" w:rsidRDefault="00CA5EB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Одновременное назначение с лекарственными средствами, угнетающими кроветворени</w:t>
      </w:r>
      <w:r w:rsidR="000B0DF6">
        <w:rPr>
          <w:rFonts w:ascii="Times New Roman" w:hAnsi="Times New Roman"/>
          <w:szCs w:val="24"/>
          <w:lang w:val="ru-RU"/>
        </w:rPr>
        <w:t>е (сульфаниламиды, цитостатики</w:t>
      </w:r>
      <w:r>
        <w:rPr>
          <w:rFonts w:ascii="Times New Roman" w:hAnsi="Times New Roman"/>
          <w:szCs w:val="24"/>
          <w:lang w:val="ru-RU"/>
        </w:rPr>
        <w:t>), влияющими на обмен веществ в печени, с лучевой терапией увеличивает риск развития побочного действия.</w:t>
      </w:r>
    </w:p>
    <w:p w:rsidR="00CA5EB9" w:rsidRDefault="00CA5EB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одновременном приеме эталона возможно развитие дисульфирамоподобной реакции. При назначении с пероральными гипогликемическими препаратами отмечается усиление их действи</w:t>
      </w:r>
      <w:r w:rsidR="000B0DF6">
        <w:rPr>
          <w:rFonts w:ascii="Times New Roman" w:hAnsi="Times New Roman"/>
          <w:szCs w:val="24"/>
          <w:lang w:val="ru-RU"/>
        </w:rPr>
        <w:t>я (за счет подавления метаболизма в печени и повышения их концентрации в плазме). При одновременном применении с эритромицином, клиндамицином, линкомицином отмечается взаимное ослабление действия за счет того, что хлорамфеникол может вытеснять эти препараты из связанного состояния или препятствовать их связыванию с субъединицей 50</w:t>
      </w:r>
      <w:r w:rsidR="000B0DF6">
        <w:rPr>
          <w:rFonts w:ascii="Times New Roman" w:hAnsi="Times New Roman"/>
          <w:szCs w:val="24"/>
        </w:rPr>
        <w:t>S</w:t>
      </w:r>
      <w:r w:rsidR="000B0DF6">
        <w:rPr>
          <w:rFonts w:ascii="Times New Roman" w:hAnsi="Times New Roman"/>
          <w:szCs w:val="24"/>
          <w:lang w:val="ru-RU"/>
        </w:rPr>
        <w:t xml:space="preserve"> бактериальных рибосом.</w:t>
      </w:r>
    </w:p>
    <w:p w:rsidR="000B0DF6" w:rsidRPr="000B0DF6" w:rsidRDefault="000B0DF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Снижает антибактериальный эффект пенициллинов и цефалоспоринов. Хлорамфеникол подавляет ферментную систему цитохрома Р</w:t>
      </w:r>
      <w:r w:rsidRPr="000B0DF6">
        <w:rPr>
          <w:rFonts w:ascii="Times New Roman" w:hAnsi="Times New Roman"/>
          <w:szCs w:val="24"/>
          <w:vertAlign w:val="subscript"/>
          <w:lang w:val="ru-RU"/>
        </w:rPr>
        <w:t>450</w:t>
      </w:r>
      <w:r>
        <w:rPr>
          <w:rFonts w:ascii="Times New Roman" w:hAnsi="Times New Roman"/>
          <w:szCs w:val="24"/>
          <w:lang w:val="ru-RU"/>
        </w:rPr>
        <w:t>, поэтому при одновременном применении с фенобарбиталом, фенитоином, непрямыми антикоагулянтами отмечается ослабление метаболизма этих препаратов, замедление выведения и повышения их концентрации в плазме. Миелотоксичные лекарственные средства усиливают проявления гемотоксичности препарата.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Особые указания</w:t>
      </w:r>
      <w:r w:rsidR="00B0780E" w:rsidRPr="000D5E8A">
        <w:rPr>
          <w:rFonts w:ascii="Times New Roman" w:hAnsi="Times New Roman"/>
          <w:szCs w:val="24"/>
          <w:lang w:val="ru-RU"/>
        </w:rPr>
        <w:t xml:space="preserve"> </w:t>
      </w:r>
    </w:p>
    <w:p w:rsidR="000D5E8A" w:rsidRPr="000D5E8A" w:rsidRDefault="000D5E8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одновременном приеме этанола возможно развитие дисульфирамоподобной реакции (гиперемия кожных покровов, тахикардия, тошнота, рвота, рефлекторный кашель, судороги). В процессе лечения необходим систематический контроль картины периферической крови.</w:t>
      </w:r>
    </w:p>
    <w:p w:rsidR="006C1E40" w:rsidRDefault="001D7322" w:rsidP="0098405D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D5E8A"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0D5E8A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</w:p>
    <w:p w:rsidR="000D5E8A" w:rsidRPr="000D5E8A" w:rsidRDefault="000D5E8A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В период лечения препаратом необходимо соблюдать особую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и быстроты психомоторных реакций.</w:t>
      </w:r>
    </w:p>
    <w:p w:rsidR="002B510F" w:rsidRPr="00A958C1" w:rsidRDefault="00F1468B" w:rsidP="000D5E8A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Ф</w:t>
      </w:r>
      <w:r w:rsidR="00894943" w:rsidRPr="000D5E8A">
        <w:rPr>
          <w:rFonts w:ascii="Times New Roman" w:hAnsi="Times New Roman"/>
          <w:b/>
          <w:szCs w:val="24"/>
          <w:lang w:val="ru-RU"/>
        </w:rPr>
        <w:t>орма выпуска</w:t>
      </w:r>
      <w:r w:rsidR="00894943" w:rsidRPr="000D5E8A">
        <w:rPr>
          <w:rFonts w:ascii="Times New Roman" w:hAnsi="Times New Roman"/>
          <w:b/>
          <w:szCs w:val="24"/>
          <w:lang w:val="ru-RU"/>
        </w:rPr>
        <w:cr/>
      </w:r>
      <w:r w:rsidR="002B510F" w:rsidRPr="000D5E8A">
        <w:rPr>
          <w:rFonts w:ascii="Times New Roman" w:hAnsi="Times New Roman"/>
          <w:szCs w:val="24"/>
          <w:lang w:val="ru-RU"/>
        </w:rPr>
        <w:t xml:space="preserve">Таблетки </w:t>
      </w:r>
      <w:r w:rsidR="000D5E8A" w:rsidRPr="000D5E8A">
        <w:rPr>
          <w:rFonts w:ascii="Times New Roman" w:hAnsi="Times New Roman"/>
          <w:szCs w:val="24"/>
          <w:lang w:val="ru-RU"/>
        </w:rPr>
        <w:t xml:space="preserve">по 250 мг и </w:t>
      </w:r>
      <w:r w:rsidR="00A00F3F" w:rsidRPr="000D5E8A">
        <w:rPr>
          <w:rFonts w:ascii="Times New Roman" w:hAnsi="Times New Roman"/>
          <w:szCs w:val="24"/>
          <w:lang w:val="ru-RU"/>
        </w:rPr>
        <w:t>5</w:t>
      </w:r>
      <w:r w:rsidR="00D77BFC" w:rsidRPr="000D5E8A">
        <w:rPr>
          <w:rFonts w:ascii="Times New Roman" w:hAnsi="Times New Roman"/>
          <w:szCs w:val="24"/>
          <w:lang w:val="ru-RU"/>
        </w:rPr>
        <w:t>00</w:t>
      </w:r>
      <w:r w:rsidR="00A00F3F" w:rsidRPr="000D5E8A">
        <w:rPr>
          <w:rFonts w:ascii="Times New Roman" w:hAnsi="Times New Roman"/>
          <w:szCs w:val="24"/>
          <w:lang w:val="ru-RU"/>
        </w:rPr>
        <w:t xml:space="preserve"> </w:t>
      </w:r>
      <w:r w:rsidR="00D77BFC" w:rsidRPr="000D5E8A">
        <w:rPr>
          <w:rFonts w:ascii="Times New Roman" w:hAnsi="Times New Roman"/>
          <w:szCs w:val="24"/>
          <w:lang w:val="ru-RU"/>
        </w:rPr>
        <w:t>м</w:t>
      </w:r>
      <w:r w:rsidR="002B510F" w:rsidRPr="000D5E8A">
        <w:rPr>
          <w:rFonts w:ascii="Times New Roman" w:hAnsi="Times New Roman"/>
          <w:szCs w:val="24"/>
          <w:lang w:val="ru-RU"/>
        </w:rPr>
        <w:t>г.</w:t>
      </w:r>
    </w:p>
    <w:p w:rsidR="000D5E8A" w:rsidRPr="000D5E8A" w:rsidRDefault="000D5E8A" w:rsidP="000D5E8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szCs w:val="24"/>
          <w:lang w:val="ru-RU"/>
        </w:rPr>
        <w:lastRenderedPageBreak/>
        <w:t>По 10 таблеток в контурную безъячейковую упаковку из материала упаковочного из комбинированных материалов с полиэтиленовым покрытием. По 10 таблеток в контурную ячейковую упаковку из пленки поливинилхлоридной и фольги алюминиевой.</w:t>
      </w:r>
    </w:p>
    <w:p w:rsidR="000D5E8A" w:rsidRPr="000D5E8A" w:rsidRDefault="000D5E8A" w:rsidP="000D5E8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szCs w:val="24"/>
          <w:lang w:val="ru-RU"/>
        </w:rPr>
        <w:t>1</w:t>
      </w:r>
      <w:r w:rsidR="0008498E">
        <w:rPr>
          <w:rFonts w:ascii="Times New Roman" w:hAnsi="Times New Roman"/>
          <w:szCs w:val="24"/>
          <w:lang w:val="ru-RU"/>
        </w:rPr>
        <w:t xml:space="preserve"> </w:t>
      </w:r>
      <w:r w:rsidRPr="000D5E8A">
        <w:rPr>
          <w:rFonts w:ascii="Times New Roman" w:hAnsi="Times New Roman"/>
          <w:szCs w:val="24"/>
          <w:lang w:val="ru-RU"/>
        </w:rPr>
        <w:t>или 2 контурных безъячейковых упаковок вместе с инструкцией по применению помещают в пачку из картона.</w:t>
      </w:r>
    </w:p>
    <w:p w:rsidR="000D5E8A" w:rsidRPr="000D5E8A" w:rsidRDefault="000D5E8A" w:rsidP="000D5E8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szCs w:val="24"/>
          <w:lang w:val="ru-RU"/>
        </w:rPr>
        <w:t>1, 2, 3 или 5 контурных ячейковых упаковок вместе с инструкцией по применению помещают в пачку из картона.</w:t>
      </w:r>
    </w:p>
    <w:p w:rsidR="000D5E8A" w:rsidRDefault="000D5E8A" w:rsidP="000D5E8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szCs w:val="24"/>
          <w:lang w:val="ru-RU"/>
        </w:rPr>
        <w:t>Допускается упаковка контурных безъячейковых и контурных ячейковых упаковок без пачки, вместе с равным количеством инструкций по применению в групповую упаковку от 100 до 1000 (Для стационаров).</w:t>
      </w:r>
    </w:p>
    <w:p w:rsidR="00043240" w:rsidRPr="00CB1922" w:rsidRDefault="00894943" w:rsidP="000D5E8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b/>
          <w:szCs w:val="24"/>
          <w:lang w:val="ru-RU"/>
        </w:rPr>
        <w:t>Условия хранения</w:t>
      </w:r>
      <w:r w:rsidRPr="00CB1922">
        <w:rPr>
          <w:rFonts w:ascii="Times New Roman" w:hAnsi="Times New Roman"/>
          <w:b/>
          <w:szCs w:val="24"/>
          <w:lang w:val="ru-RU"/>
        </w:rPr>
        <w:cr/>
      </w:r>
      <w:r w:rsidR="00CB1922" w:rsidRPr="00CB1922">
        <w:rPr>
          <w:rFonts w:ascii="Times New Roman" w:hAnsi="Times New Roman"/>
          <w:szCs w:val="24"/>
          <w:lang w:val="ru-RU"/>
        </w:rPr>
        <w:t>В защищенном от света месте, при температуре не выше 25 ºС.</w:t>
      </w:r>
    </w:p>
    <w:p w:rsidR="002F36A0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CB1922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CB1922">
        <w:rPr>
          <w:rFonts w:ascii="Times New Roman" w:hAnsi="Times New Roman"/>
          <w:szCs w:val="24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>Срок годности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00F3F" w:rsidRPr="00A00F3F">
        <w:rPr>
          <w:rFonts w:ascii="Times New Roman" w:hAnsi="Times New Roman"/>
          <w:szCs w:val="24"/>
          <w:lang w:val="ru-RU"/>
        </w:rPr>
        <w:t>5 лет</w:t>
      </w:r>
      <w:r w:rsidR="009E19FB" w:rsidRPr="00A00F3F">
        <w:rPr>
          <w:rFonts w:ascii="Times New Roman" w:hAnsi="Times New Roman"/>
          <w:szCs w:val="24"/>
          <w:lang w:val="ru-RU"/>
        </w:rPr>
        <w:t xml:space="preserve">. </w:t>
      </w:r>
      <w:r w:rsidR="00E226C1" w:rsidRPr="00A00F3F">
        <w:rPr>
          <w:rFonts w:ascii="Times New Roman" w:hAnsi="Times New Roman"/>
          <w:szCs w:val="24"/>
          <w:lang w:val="ru-RU"/>
        </w:rPr>
        <w:t>Не применя</w:t>
      </w:r>
      <w:r w:rsidR="00A24A2F" w:rsidRPr="00A00F3F">
        <w:rPr>
          <w:rFonts w:ascii="Times New Roman" w:hAnsi="Times New Roman"/>
          <w:szCs w:val="24"/>
          <w:lang w:val="ru-RU"/>
        </w:rPr>
        <w:t>ть</w:t>
      </w:r>
      <w:r w:rsidR="009E19FB" w:rsidRPr="00A00F3F">
        <w:rPr>
          <w:rFonts w:ascii="Times New Roman" w:hAnsi="Times New Roman"/>
          <w:szCs w:val="24"/>
          <w:lang w:val="ru-RU"/>
        </w:rPr>
        <w:t xml:space="preserve"> по истечении</w:t>
      </w:r>
      <w:r w:rsidR="00072906">
        <w:rPr>
          <w:rFonts w:ascii="Times New Roman" w:hAnsi="Times New Roman"/>
          <w:szCs w:val="24"/>
          <w:lang w:val="ru-RU"/>
        </w:rPr>
        <w:t xml:space="preserve"> срока годности</w:t>
      </w:r>
      <w:r w:rsidRPr="00A00F3F">
        <w:rPr>
          <w:rFonts w:ascii="Times New Roman" w:hAnsi="Times New Roman"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u w:val="single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 xml:space="preserve">Условия отпуска 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958C1" w:rsidRPr="00A958C1">
        <w:rPr>
          <w:rFonts w:ascii="Times New Roman" w:hAnsi="Times New Roman"/>
          <w:szCs w:val="24"/>
          <w:lang w:val="ru-RU"/>
        </w:rPr>
        <w:t>Отпускают п</w:t>
      </w:r>
      <w:r w:rsidR="00A00F3F" w:rsidRPr="00A958C1">
        <w:rPr>
          <w:rFonts w:ascii="Times New Roman" w:hAnsi="Times New Roman"/>
          <w:szCs w:val="24"/>
          <w:lang w:val="ru-RU"/>
        </w:rPr>
        <w:t>о рецепту</w:t>
      </w:r>
      <w:r w:rsidR="000E33E7" w:rsidRPr="00A00F3F">
        <w:rPr>
          <w:rFonts w:ascii="Times New Roman" w:hAnsi="Times New Roman"/>
          <w:szCs w:val="24"/>
          <w:lang w:val="ru-RU"/>
        </w:rPr>
        <w:t>.</w:t>
      </w:r>
    </w:p>
    <w:p w:rsidR="00C551FD" w:rsidRDefault="00C551FD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C551FD" w:rsidRDefault="00D51F11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9235E2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</w:p>
    <w:p w:rsidR="00C551FD" w:rsidRPr="00EC5ABC" w:rsidRDefault="00C551FD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Pr="00072906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2906">
        <w:rPr>
          <w:rFonts w:ascii="Times New Roman" w:hAnsi="Times New Roman"/>
          <w:b/>
          <w:sz w:val="24"/>
          <w:szCs w:val="24"/>
        </w:rPr>
        <w:t>Производитель/</w:t>
      </w:r>
      <w:r w:rsidRPr="00072906">
        <w:rPr>
          <w:rStyle w:val="FontStyle15"/>
          <w:sz w:val="24"/>
          <w:szCs w:val="24"/>
        </w:rPr>
        <w:t>Организация, принимающая претензии</w:t>
      </w:r>
      <w:r w:rsidR="00072906" w:rsidRPr="00072906">
        <w:rPr>
          <w:rStyle w:val="FontStyle15"/>
          <w:sz w:val="24"/>
          <w:szCs w:val="24"/>
        </w:rPr>
        <w:t xml:space="preserve"> потребителей</w:t>
      </w:r>
      <w:r w:rsidRPr="00072906">
        <w:rPr>
          <w:rFonts w:ascii="Times New Roman" w:hAnsi="Times New Roman"/>
          <w:b/>
          <w:sz w:val="24"/>
          <w:szCs w:val="24"/>
        </w:rPr>
        <w:t xml:space="preserve">: </w:t>
      </w:r>
    </w:p>
    <w:p w:rsidR="00072906" w:rsidRPr="00072906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072906" w:rsidRPr="00072906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>Россия, 665462, Иркутская область, г. Усолье-Сибирское, северо-западная часть города с северо-восточной стороны, в 115 м от Прибайкальской автодороги.</w:t>
      </w:r>
    </w:p>
    <w:p w:rsidR="00072906" w:rsidRPr="0008498E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8498E">
        <w:rPr>
          <w:rFonts w:ascii="Times New Roman" w:hAnsi="Times New Roman"/>
          <w:szCs w:val="24"/>
          <w:lang w:val="ru-RU"/>
        </w:rPr>
        <w:t>Тел.: +7(39543)5-89-10, факс: +7(39543)5-89-08.</w:t>
      </w:r>
    </w:p>
    <w:p w:rsidR="006C1E40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072906" w:rsidRPr="000E33E7" w:rsidRDefault="00072906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894943" w:rsidRPr="00106910" w:rsidRDefault="006C1E40" w:rsidP="00106910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sectPr w:rsidR="00894943" w:rsidRPr="00106910" w:rsidSect="00C551FD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91" w:rsidRDefault="00D26A91" w:rsidP="00C551FD">
      <w:r>
        <w:separator/>
      </w:r>
    </w:p>
  </w:endnote>
  <w:endnote w:type="continuationSeparator" w:id="0">
    <w:p w:rsidR="00D26A91" w:rsidRDefault="00D26A91" w:rsidP="00C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91" w:rsidRDefault="00D26A91" w:rsidP="00C551FD">
      <w:r>
        <w:separator/>
      </w:r>
    </w:p>
  </w:footnote>
  <w:footnote w:type="continuationSeparator" w:id="0">
    <w:p w:rsidR="00D26A91" w:rsidRDefault="00D26A91" w:rsidP="00C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D" w:rsidRDefault="00C551F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75B00" w:rsidRPr="00875B00">
      <w:rPr>
        <w:noProof/>
        <w:lang w:val="ru-RU"/>
      </w:rPr>
      <w:t>4</w:t>
    </w:r>
    <w:r>
      <w:fldChar w:fldCharType="end"/>
    </w:r>
  </w:p>
  <w:p w:rsidR="00C551FD" w:rsidRDefault="00C55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27AFA"/>
    <w:rsid w:val="00043240"/>
    <w:rsid w:val="00046B2C"/>
    <w:rsid w:val="0005064D"/>
    <w:rsid w:val="00050AE7"/>
    <w:rsid w:val="00052D2D"/>
    <w:rsid w:val="00070034"/>
    <w:rsid w:val="00070BD7"/>
    <w:rsid w:val="00072906"/>
    <w:rsid w:val="00073267"/>
    <w:rsid w:val="0008498E"/>
    <w:rsid w:val="00092AF8"/>
    <w:rsid w:val="000A46A1"/>
    <w:rsid w:val="000A6D41"/>
    <w:rsid w:val="000B0DF6"/>
    <w:rsid w:val="000B4680"/>
    <w:rsid w:val="000C0767"/>
    <w:rsid w:val="000C1654"/>
    <w:rsid w:val="000C565E"/>
    <w:rsid w:val="000D429B"/>
    <w:rsid w:val="000D5E8A"/>
    <w:rsid w:val="000E33E7"/>
    <w:rsid w:val="000E4252"/>
    <w:rsid w:val="000E5E16"/>
    <w:rsid w:val="000F0204"/>
    <w:rsid w:val="000F45C0"/>
    <w:rsid w:val="00106910"/>
    <w:rsid w:val="0010791F"/>
    <w:rsid w:val="0011071D"/>
    <w:rsid w:val="00116B83"/>
    <w:rsid w:val="0012091D"/>
    <w:rsid w:val="00125B26"/>
    <w:rsid w:val="00140922"/>
    <w:rsid w:val="001627D2"/>
    <w:rsid w:val="00166DCB"/>
    <w:rsid w:val="001700D8"/>
    <w:rsid w:val="001912BE"/>
    <w:rsid w:val="00195972"/>
    <w:rsid w:val="001B1334"/>
    <w:rsid w:val="001B29A9"/>
    <w:rsid w:val="001B3289"/>
    <w:rsid w:val="001C3D40"/>
    <w:rsid w:val="001D2930"/>
    <w:rsid w:val="001D7322"/>
    <w:rsid w:val="001F4EB3"/>
    <w:rsid w:val="001F54BD"/>
    <w:rsid w:val="00245841"/>
    <w:rsid w:val="002619B6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354A1A"/>
    <w:rsid w:val="00357EEC"/>
    <w:rsid w:val="003724AC"/>
    <w:rsid w:val="00376A9E"/>
    <w:rsid w:val="00395ACE"/>
    <w:rsid w:val="003A5FA9"/>
    <w:rsid w:val="003C71D4"/>
    <w:rsid w:val="003D2676"/>
    <w:rsid w:val="003D4A46"/>
    <w:rsid w:val="003E5263"/>
    <w:rsid w:val="003F1CB0"/>
    <w:rsid w:val="003F5C18"/>
    <w:rsid w:val="00402F63"/>
    <w:rsid w:val="00415973"/>
    <w:rsid w:val="004237B8"/>
    <w:rsid w:val="0044363F"/>
    <w:rsid w:val="00491336"/>
    <w:rsid w:val="004A0E97"/>
    <w:rsid w:val="004A36F8"/>
    <w:rsid w:val="004C3AF9"/>
    <w:rsid w:val="004E7AE2"/>
    <w:rsid w:val="0050063A"/>
    <w:rsid w:val="005008CF"/>
    <w:rsid w:val="005060EE"/>
    <w:rsid w:val="005338CA"/>
    <w:rsid w:val="0054133D"/>
    <w:rsid w:val="00551805"/>
    <w:rsid w:val="00563466"/>
    <w:rsid w:val="005713FB"/>
    <w:rsid w:val="00571ADD"/>
    <w:rsid w:val="00583C45"/>
    <w:rsid w:val="005855A5"/>
    <w:rsid w:val="005B3CA2"/>
    <w:rsid w:val="005B71C2"/>
    <w:rsid w:val="005D6AB3"/>
    <w:rsid w:val="005E22F4"/>
    <w:rsid w:val="006076F6"/>
    <w:rsid w:val="006176D1"/>
    <w:rsid w:val="00623EED"/>
    <w:rsid w:val="006578E6"/>
    <w:rsid w:val="006621C0"/>
    <w:rsid w:val="006625C7"/>
    <w:rsid w:val="00662E40"/>
    <w:rsid w:val="006821B7"/>
    <w:rsid w:val="00686446"/>
    <w:rsid w:val="00692571"/>
    <w:rsid w:val="006A1080"/>
    <w:rsid w:val="006C1E40"/>
    <w:rsid w:val="006C6E6F"/>
    <w:rsid w:val="006D183A"/>
    <w:rsid w:val="006D2A97"/>
    <w:rsid w:val="006E54E4"/>
    <w:rsid w:val="00701E25"/>
    <w:rsid w:val="00726313"/>
    <w:rsid w:val="00727C5A"/>
    <w:rsid w:val="00754639"/>
    <w:rsid w:val="007C0B53"/>
    <w:rsid w:val="007C2860"/>
    <w:rsid w:val="007D7B79"/>
    <w:rsid w:val="007D7F48"/>
    <w:rsid w:val="00802164"/>
    <w:rsid w:val="0081338F"/>
    <w:rsid w:val="00817739"/>
    <w:rsid w:val="0082016B"/>
    <w:rsid w:val="008531D3"/>
    <w:rsid w:val="008533A2"/>
    <w:rsid w:val="0087339B"/>
    <w:rsid w:val="00875B00"/>
    <w:rsid w:val="00881CA6"/>
    <w:rsid w:val="00894943"/>
    <w:rsid w:val="008A4109"/>
    <w:rsid w:val="008C1E49"/>
    <w:rsid w:val="008D7549"/>
    <w:rsid w:val="009026C8"/>
    <w:rsid w:val="00903CE0"/>
    <w:rsid w:val="00907F59"/>
    <w:rsid w:val="009235E2"/>
    <w:rsid w:val="009308C2"/>
    <w:rsid w:val="009342FA"/>
    <w:rsid w:val="0093468E"/>
    <w:rsid w:val="00944D62"/>
    <w:rsid w:val="009503CC"/>
    <w:rsid w:val="00960DE3"/>
    <w:rsid w:val="00972D4A"/>
    <w:rsid w:val="0098405D"/>
    <w:rsid w:val="00990484"/>
    <w:rsid w:val="00991AF5"/>
    <w:rsid w:val="009B7A81"/>
    <w:rsid w:val="009C35B3"/>
    <w:rsid w:val="009C58DB"/>
    <w:rsid w:val="009D5372"/>
    <w:rsid w:val="009E19FB"/>
    <w:rsid w:val="009E248B"/>
    <w:rsid w:val="009F53DF"/>
    <w:rsid w:val="009F5592"/>
    <w:rsid w:val="00A00F3F"/>
    <w:rsid w:val="00A24A2F"/>
    <w:rsid w:val="00A261C9"/>
    <w:rsid w:val="00A33293"/>
    <w:rsid w:val="00A403B1"/>
    <w:rsid w:val="00A64C8B"/>
    <w:rsid w:val="00A64F0D"/>
    <w:rsid w:val="00A66AD6"/>
    <w:rsid w:val="00A87C4E"/>
    <w:rsid w:val="00A958C1"/>
    <w:rsid w:val="00A968E2"/>
    <w:rsid w:val="00AB4C6F"/>
    <w:rsid w:val="00B0780E"/>
    <w:rsid w:val="00B1401A"/>
    <w:rsid w:val="00B207EC"/>
    <w:rsid w:val="00B300C7"/>
    <w:rsid w:val="00B42A62"/>
    <w:rsid w:val="00B52DBA"/>
    <w:rsid w:val="00B61C17"/>
    <w:rsid w:val="00B62734"/>
    <w:rsid w:val="00B64338"/>
    <w:rsid w:val="00B82F6C"/>
    <w:rsid w:val="00B83BA9"/>
    <w:rsid w:val="00B90B3F"/>
    <w:rsid w:val="00BA5409"/>
    <w:rsid w:val="00BB0D00"/>
    <w:rsid w:val="00BD1FB7"/>
    <w:rsid w:val="00BE4ECE"/>
    <w:rsid w:val="00BE6C67"/>
    <w:rsid w:val="00BF7A85"/>
    <w:rsid w:val="00C029CF"/>
    <w:rsid w:val="00C1792F"/>
    <w:rsid w:val="00C37FED"/>
    <w:rsid w:val="00C412F1"/>
    <w:rsid w:val="00C551FD"/>
    <w:rsid w:val="00C55D00"/>
    <w:rsid w:val="00C87317"/>
    <w:rsid w:val="00C92C34"/>
    <w:rsid w:val="00C946C8"/>
    <w:rsid w:val="00C95797"/>
    <w:rsid w:val="00CA5EB9"/>
    <w:rsid w:val="00CA7B7E"/>
    <w:rsid w:val="00CB1922"/>
    <w:rsid w:val="00CB2636"/>
    <w:rsid w:val="00CB3EF3"/>
    <w:rsid w:val="00CC4A13"/>
    <w:rsid w:val="00CD11D5"/>
    <w:rsid w:val="00CF1439"/>
    <w:rsid w:val="00CF675C"/>
    <w:rsid w:val="00CF7130"/>
    <w:rsid w:val="00D10FD3"/>
    <w:rsid w:val="00D23EF2"/>
    <w:rsid w:val="00D26A91"/>
    <w:rsid w:val="00D32DD3"/>
    <w:rsid w:val="00D45848"/>
    <w:rsid w:val="00D51F11"/>
    <w:rsid w:val="00D61E73"/>
    <w:rsid w:val="00D62DCD"/>
    <w:rsid w:val="00D65EC3"/>
    <w:rsid w:val="00D77BFC"/>
    <w:rsid w:val="00D879C9"/>
    <w:rsid w:val="00DA1B37"/>
    <w:rsid w:val="00DB37BB"/>
    <w:rsid w:val="00DB41B0"/>
    <w:rsid w:val="00DB725C"/>
    <w:rsid w:val="00DD159A"/>
    <w:rsid w:val="00DF1D03"/>
    <w:rsid w:val="00DF72EE"/>
    <w:rsid w:val="00E06E34"/>
    <w:rsid w:val="00E221DE"/>
    <w:rsid w:val="00E226C1"/>
    <w:rsid w:val="00E50D9D"/>
    <w:rsid w:val="00E65DE7"/>
    <w:rsid w:val="00E66404"/>
    <w:rsid w:val="00E72900"/>
    <w:rsid w:val="00E73F20"/>
    <w:rsid w:val="00E87950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549AE"/>
    <w:rsid w:val="00F71E61"/>
    <w:rsid w:val="00F9563B"/>
    <w:rsid w:val="00FC060B"/>
    <w:rsid w:val="00FC1D1A"/>
    <w:rsid w:val="00FD064C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55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51FD"/>
    <w:rPr>
      <w:sz w:val="24"/>
      <w:lang w:val="en-US"/>
    </w:rPr>
  </w:style>
  <w:style w:type="paragraph" w:styleId="a8">
    <w:name w:val="footer"/>
    <w:basedOn w:val="a"/>
    <w:link w:val="a9"/>
    <w:unhideWhenUsed/>
    <w:rsid w:val="00C55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51FD"/>
    <w:rPr>
      <w:sz w:val="24"/>
      <w:lang w:val="en-US"/>
    </w:rPr>
  </w:style>
  <w:style w:type="paragraph" w:customStyle="1" w:styleId="21">
    <w:name w:val="Основной текст 21"/>
    <w:basedOn w:val="a"/>
    <w:rsid w:val="009235E2"/>
    <w:pPr>
      <w:ind w:firstLine="720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679B-EEEB-409D-8CA7-12286EB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118</cp:revision>
  <cp:lastPrinted>2019-03-27T06:58:00Z</cp:lastPrinted>
  <dcterms:created xsi:type="dcterms:W3CDTF">2012-12-13T11:40:00Z</dcterms:created>
  <dcterms:modified xsi:type="dcterms:W3CDTF">2020-06-08T07:43:00Z</dcterms:modified>
</cp:coreProperties>
</file>